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418" w:type="dxa"/>
        <w:tblLayout w:type="fixed"/>
        <w:tblLook w:val="0000" w:firstRow="0" w:lastRow="0" w:firstColumn="0" w:lastColumn="0" w:noHBand="0" w:noVBand="0"/>
      </w:tblPr>
      <w:tblGrid>
        <w:gridCol w:w="1530"/>
        <w:gridCol w:w="2520"/>
      </w:tblGrid>
      <w:tr w:rsidR="00561358" w:rsidRPr="00110B53">
        <w:trPr>
          <w:trHeight w:val="288"/>
        </w:trPr>
        <w:tc>
          <w:tcPr>
            <w:tcW w:w="1530" w:type="dxa"/>
            <w:vAlign w:val="center"/>
          </w:tcPr>
          <w:p w:rsidR="00561358" w:rsidRPr="00110B53" w:rsidRDefault="00561358">
            <w:pPr>
              <w:pStyle w:val="Header"/>
              <w:rPr>
                <w:sz w:val="20"/>
              </w:rPr>
            </w:pPr>
            <w:r w:rsidRPr="00110B53">
              <w:rPr>
                <w:sz w:val="20"/>
              </w:rPr>
              <w:t>Introduced by:</w:t>
            </w:r>
          </w:p>
        </w:tc>
        <w:tc>
          <w:tcPr>
            <w:tcW w:w="2520" w:type="dxa"/>
            <w:vAlign w:val="center"/>
          </w:tcPr>
          <w:p w:rsidR="00561358" w:rsidRPr="00110B53" w:rsidRDefault="00561358">
            <w:pPr>
              <w:jc w:val="right"/>
              <w:rPr>
                <w:sz w:val="20"/>
                <w:szCs w:val="20"/>
              </w:rPr>
            </w:pPr>
            <w:r>
              <w:rPr>
                <w:sz w:val="20"/>
                <w:szCs w:val="20"/>
              </w:rPr>
              <w:t>Mayor</w:t>
            </w:r>
          </w:p>
        </w:tc>
      </w:tr>
      <w:tr w:rsidR="00561358" w:rsidRPr="00110B53">
        <w:trPr>
          <w:trHeight w:val="288"/>
        </w:trPr>
        <w:tc>
          <w:tcPr>
            <w:tcW w:w="1530" w:type="dxa"/>
            <w:vAlign w:val="center"/>
          </w:tcPr>
          <w:p w:rsidR="00561358" w:rsidRPr="00110B53" w:rsidRDefault="00561358">
            <w:pPr>
              <w:rPr>
                <w:sz w:val="20"/>
                <w:szCs w:val="20"/>
              </w:rPr>
            </w:pPr>
            <w:r w:rsidRPr="00110B53">
              <w:rPr>
                <w:sz w:val="20"/>
                <w:szCs w:val="20"/>
              </w:rPr>
              <w:t>Date:</w:t>
            </w:r>
          </w:p>
        </w:tc>
        <w:tc>
          <w:tcPr>
            <w:tcW w:w="2520" w:type="dxa"/>
            <w:vAlign w:val="center"/>
          </w:tcPr>
          <w:p w:rsidR="00561358" w:rsidRPr="00110B53" w:rsidRDefault="00561358">
            <w:pPr>
              <w:jc w:val="right"/>
              <w:rPr>
                <w:sz w:val="20"/>
                <w:szCs w:val="20"/>
              </w:rPr>
            </w:pPr>
            <w:r>
              <w:rPr>
                <w:sz w:val="20"/>
                <w:szCs w:val="20"/>
              </w:rPr>
              <w:t>12/15/20</w:t>
            </w:r>
          </w:p>
        </w:tc>
      </w:tr>
      <w:tr w:rsidR="00561358" w:rsidRPr="00110B53">
        <w:trPr>
          <w:trHeight w:val="288"/>
        </w:trPr>
        <w:tc>
          <w:tcPr>
            <w:tcW w:w="1530" w:type="dxa"/>
            <w:vAlign w:val="center"/>
          </w:tcPr>
          <w:p w:rsidR="00561358" w:rsidRPr="00110B53" w:rsidRDefault="00561358">
            <w:pPr>
              <w:rPr>
                <w:sz w:val="20"/>
                <w:szCs w:val="20"/>
              </w:rPr>
            </w:pPr>
            <w:r w:rsidRPr="00110B53">
              <w:rPr>
                <w:sz w:val="20"/>
                <w:szCs w:val="20"/>
              </w:rPr>
              <w:t>Action:</w:t>
            </w:r>
          </w:p>
        </w:tc>
        <w:tc>
          <w:tcPr>
            <w:tcW w:w="2520" w:type="dxa"/>
            <w:vAlign w:val="center"/>
          </w:tcPr>
          <w:p w:rsidR="00561358" w:rsidRPr="00110B53" w:rsidRDefault="00561358">
            <w:pPr>
              <w:jc w:val="right"/>
              <w:rPr>
                <w:sz w:val="20"/>
                <w:szCs w:val="20"/>
              </w:rPr>
            </w:pPr>
          </w:p>
        </w:tc>
      </w:tr>
      <w:tr w:rsidR="00561358" w:rsidRPr="00110B53">
        <w:trPr>
          <w:trHeight w:val="288"/>
        </w:trPr>
        <w:tc>
          <w:tcPr>
            <w:tcW w:w="1530" w:type="dxa"/>
            <w:vAlign w:val="center"/>
          </w:tcPr>
          <w:p w:rsidR="00561358" w:rsidRPr="00110B53" w:rsidRDefault="00561358">
            <w:pPr>
              <w:rPr>
                <w:sz w:val="20"/>
                <w:szCs w:val="20"/>
              </w:rPr>
            </w:pPr>
            <w:r w:rsidRPr="00110B53">
              <w:rPr>
                <w:sz w:val="20"/>
                <w:szCs w:val="20"/>
              </w:rPr>
              <w:t>Vote:</w:t>
            </w:r>
          </w:p>
        </w:tc>
        <w:tc>
          <w:tcPr>
            <w:tcW w:w="2520" w:type="dxa"/>
            <w:vAlign w:val="center"/>
          </w:tcPr>
          <w:p w:rsidR="00561358" w:rsidRPr="00110B53" w:rsidRDefault="00561358">
            <w:pPr>
              <w:jc w:val="right"/>
              <w:rPr>
                <w:sz w:val="20"/>
                <w:szCs w:val="20"/>
              </w:rPr>
            </w:pPr>
          </w:p>
        </w:tc>
      </w:tr>
    </w:tbl>
    <w:p w:rsidR="0036190F" w:rsidRDefault="00561358" w:rsidP="007B028F">
      <w:pPr>
        <w:suppressLineNumbers/>
      </w:pPr>
    </w:p>
    <w:p w:rsidR="009852FB" w:rsidRDefault="00165F14" w:rsidP="007B028F">
      <w:pPr>
        <w:suppressLineNumbers/>
        <w:jc w:val="center"/>
        <w:rPr>
          <w:b/>
        </w:rPr>
      </w:pPr>
      <w:r>
        <w:rPr>
          <w:b/>
        </w:rPr>
        <w:t>KENAI PENINSULA BOROUGH</w:t>
      </w:r>
    </w:p>
    <w:p w:rsidR="002166D1" w:rsidRDefault="00165F14" w:rsidP="007B028F">
      <w:pPr>
        <w:suppressLineNumbers/>
        <w:jc w:val="center"/>
        <w:rPr>
          <w:b/>
        </w:rPr>
      </w:pPr>
      <w:r>
        <w:rPr>
          <w:b/>
        </w:rPr>
        <w:t>RESOLUTION 2020-</w:t>
      </w:r>
      <w:r w:rsidR="00561358">
        <w:rPr>
          <w:b/>
        </w:rPr>
        <w:t>084</w:t>
      </w:r>
    </w:p>
    <w:p w:rsidR="002166D1" w:rsidRDefault="00561358" w:rsidP="007B028F">
      <w:pPr>
        <w:suppressLineNumbers/>
        <w:jc w:val="center"/>
        <w:rPr>
          <w:b/>
        </w:rPr>
      </w:pPr>
    </w:p>
    <w:p w:rsidR="002166D1" w:rsidRDefault="00165F14" w:rsidP="007B028F">
      <w:pPr>
        <w:suppressLineNumbers/>
        <w:jc w:val="center"/>
        <w:rPr>
          <w:b/>
        </w:rPr>
      </w:pPr>
      <w:r>
        <w:rPr>
          <w:b/>
        </w:rPr>
        <w:t>A RESOLUTION EXTENDING THE DISASTER EMERGENCY DECLATION FOR THE KENAI PENINSULA BOROUGH ISSUED DUE TO THE CURRENT AND EXPECTED IMMINENT IMPACTS OF THE COVID-19 PANDEMIC TO MARCH 31, 2021</w:t>
      </w:r>
    </w:p>
    <w:p w:rsidR="002166D1" w:rsidRDefault="00561358" w:rsidP="007B028F">
      <w:pPr>
        <w:suppressLineNumbers/>
        <w:jc w:val="both"/>
      </w:pPr>
    </w:p>
    <w:p w:rsidR="002166D1" w:rsidRDefault="00165F14" w:rsidP="007B028F">
      <w:pPr>
        <w:ind w:left="1440" w:hanging="1440"/>
        <w:jc w:val="both"/>
      </w:pPr>
      <w:r>
        <w:rPr>
          <w:b/>
        </w:rPr>
        <w:t>WHEREAS,</w:t>
      </w:r>
      <w:r>
        <w:tab/>
        <w:t>the borough mayor issued a Disaster Emergency Declaration on March 16, 2020, due to the current and expected imminent impacts of the COVID-19 pandemic in the areas of the Kenai Peninsula Borough outside of the cities; and</w:t>
      </w:r>
    </w:p>
    <w:p w:rsidR="002166D1" w:rsidRDefault="00561358" w:rsidP="007B028F">
      <w:pPr>
        <w:suppressLineNumbers/>
        <w:ind w:left="1440" w:hanging="1440"/>
        <w:jc w:val="both"/>
      </w:pPr>
    </w:p>
    <w:p w:rsidR="00537F76" w:rsidRDefault="00165F14" w:rsidP="00537F76">
      <w:pPr>
        <w:ind w:left="1440" w:hanging="1440"/>
        <w:jc w:val="both"/>
      </w:pPr>
      <w:r>
        <w:rPr>
          <w:b/>
        </w:rPr>
        <w:t>WHEREAS,</w:t>
      </w:r>
      <w:r>
        <w:tab/>
        <w:t>the assembly extended the Disaster Emergency Declaration at its March 17, 2020 meeting, at its June 2, 2020 meeting, and at its September 1, 2020 meeting until December 30, 2020; and</w:t>
      </w:r>
    </w:p>
    <w:p w:rsidR="00537F76" w:rsidRDefault="00561358" w:rsidP="007B028F">
      <w:pPr>
        <w:suppressLineNumbers/>
        <w:ind w:left="1440" w:hanging="1440"/>
        <w:jc w:val="both"/>
      </w:pPr>
    </w:p>
    <w:p w:rsidR="00537F76" w:rsidRDefault="00165F14" w:rsidP="00537F76">
      <w:pPr>
        <w:ind w:left="1440" w:hanging="1440"/>
        <w:jc w:val="both"/>
      </w:pPr>
      <w:r>
        <w:rPr>
          <w:b/>
        </w:rPr>
        <w:t>WHEREAS,</w:t>
      </w:r>
      <w:r>
        <w:tab/>
        <w:t>the declaration activates the borough’s emergency response plan and requests disaster assistance from the State of Alaska by making available resources as needed for the ongoing response and recovery from the current and potential impacts; and</w:t>
      </w:r>
    </w:p>
    <w:p w:rsidR="00537F76" w:rsidRDefault="00561358" w:rsidP="007B028F">
      <w:pPr>
        <w:suppressLineNumbers/>
        <w:ind w:left="1440" w:hanging="1440"/>
        <w:jc w:val="both"/>
      </w:pPr>
    </w:p>
    <w:p w:rsidR="00D36F7B" w:rsidRDefault="00165F14" w:rsidP="00D36F7B">
      <w:pPr>
        <w:ind w:left="1440" w:hanging="1440"/>
        <w:jc w:val="both"/>
      </w:pPr>
      <w:r>
        <w:rPr>
          <w:b/>
        </w:rPr>
        <w:t>WHEREAS,</w:t>
      </w:r>
      <w:r>
        <w:tab/>
        <w:t>the borough continues to incur significant expenses as related to the pandemic due to additional personal protective equipment to maintain the safety of first responders, payroll costs for quarantine and overtime backfill; and</w:t>
      </w:r>
    </w:p>
    <w:p w:rsidR="00D36F7B" w:rsidRDefault="00561358" w:rsidP="007B028F">
      <w:pPr>
        <w:suppressLineNumbers/>
        <w:ind w:left="1440" w:hanging="1440"/>
        <w:jc w:val="both"/>
      </w:pPr>
    </w:p>
    <w:p w:rsidR="002166D1" w:rsidRDefault="00165F14" w:rsidP="007B028F">
      <w:pPr>
        <w:ind w:left="1440" w:hanging="1440"/>
        <w:jc w:val="both"/>
      </w:pPr>
      <w:r>
        <w:rPr>
          <w:b/>
        </w:rPr>
        <w:t>WHEREAS,</w:t>
      </w:r>
      <w:r>
        <w:tab/>
        <w:t>the borough is not eligible for reimbursement of disaster-related expenses through public assistance without a disaster declaration in affect; and</w:t>
      </w:r>
    </w:p>
    <w:p w:rsidR="00572544" w:rsidRDefault="00561358" w:rsidP="007B028F">
      <w:pPr>
        <w:ind w:left="1440" w:hanging="1440"/>
        <w:jc w:val="both"/>
      </w:pPr>
    </w:p>
    <w:p w:rsidR="00572544" w:rsidRDefault="00165F14" w:rsidP="00572544">
      <w:pPr>
        <w:ind w:left="1440" w:hanging="1440"/>
        <w:jc w:val="both"/>
      </w:pPr>
      <w:r>
        <w:rPr>
          <w:b/>
        </w:rPr>
        <w:t>WHEREAS,</w:t>
      </w:r>
      <w:r>
        <w:tab/>
        <w:t xml:space="preserve">the borough is continuing to provide daily responses for COVID-19 through its emergency medical service areas, Office of Emergency Management and numerous other departments; </w:t>
      </w:r>
    </w:p>
    <w:p w:rsidR="002166D1" w:rsidRDefault="00561358" w:rsidP="007B028F">
      <w:pPr>
        <w:suppressLineNumbers/>
        <w:ind w:left="1440" w:hanging="1440"/>
        <w:jc w:val="both"/>
      </w:pPr>
    </w:p>
    <w:p w:rsidR="002166D1" w:rsidRDefault="00165F14" w:rsidP="007B028F">
      <w:pPr>
        <w:jc w:val="both"/>
      </w:pPr>
      <w:r>
        <w:rPr>
          <w:b/>
        </w:rPr>
        <w:t>NOW, THEREFORE, BE IT RESOLVED BY THE ASSEMBLY OF THE KENAI PENINSULA BOROUGH:</w:t>
      </w:r>
    </w:p>
    <w:p w:rsidR="001411C3" w:rsidRDefault="00561358" w:rsidP="007B028F">
      <w:pPr>
        <w:suppressLineNumbers/>
        <w:jc w:val="both"/>
      </w:pPr>
    </w:p>
    <w:p w:rsidR="001411C3" w:rsidRDefault="00165F14" w:rsidP="007B028F">
      <w:pPr>
        <w:ind w:left="1440" w:hanging="1440"/>
        <w:jc w:val="both"/>
      </w:pPr>
      <w:r>
        <w:rPr>
          <w:b/>
        </w:rPr>
        <w:t>SECTION 1.</w:t>
      </w:r>
      <w:r>
        <w:tab/>
        <w:t>That the declaration of local disaster emergency issued by the borough mayor on March 16, 2020, is hereby extended to March 31, 2021, to allow for a more complete response.  A copy of the declaration of disaster emergency extended by this resolution is attached and incorporated herein by reference.</w:t>
      </w:r>
    </w:p>
    <w:p w:rsidR="001411C3" w:rsidRDefault="00561358" w:rsidP="007B028F">
      <w:pPr>
        <w:suppressLineNumbers/>
        <w:ind w:left="1440" w:hanging="1440"/>
        <w:jc w:val="both"/>
      </w:pPr>
    </w:p>
    <w:p w:rsidR="001411C3" w:rsidRPr="001E05F8" w:rsidRDefault="00165F14" w:rsidP="007B028F">
      <w:pPr>
        <w:ind w:left="1440" w:hanging="1440"/>
        <w:jc w:val="both"/>
        <w:rPr>
          <w:bCs/>
        </w:rPr>
      </w:pPr>
      <w:r>
        <w:rPr>
          <w:b/>
        </w:rPr>
        <w:t>SECTION 2.</w:t>
      </w:r>
      <w:r>
        <w:rPr>
          <w:b/>
        </w:rPr>
        <w:tab/>
      </w:r>
      <w:r>
        <w:rPr>
          <w:bCs/>
        </w:rPr>
        <w:t>That this resolution takes effect immediately upon its adoption.</w:t>
      </w:r>
    </w:p>
    <w:p w:rsidR="00543FCA" w:rsidRDefault="00561358" w:rsidP="007B028F">
      <w:pPr>
        <w:suppressLineNumbers/>
        <w:ind w:left="1440" w:hanging="1440"/>
        <w:jc w:val="both"/>
      </w:pPr>
    </w:p>
    <w:p w:rsidR="001411C3" w:rsidRDefault="00165F14" w:rsidP="007B028F">
      <w:pPr>
        <w:jc w:val="both"/>
        <w:rPr>
          <w:b/>
        </w:rPr>
      </w:pPr>
      <w:r>
        <w:rPr>
          <w:b/>
        </w:rPr>
        <w:t>ADOPTED BY THE ASSEMBLY OF TH</w:t>
      </w:r>
      <w:r w:rsidR="00561358">
        <w:rPr>
          <w:b/>
        </w:rPr>
        <w:t>E KENAI PENINSULA BOROUGH THIS 15TH DAY DECEMBER,</w:t>
      </w:r>
      <w:r>
        <w:rPr>
          <w:b/>
        </w:rPr>
        <w:t xml:space="preserve"> 2020.</w:t>
      </w:r>
    </w:p>
    <w:p w:rsidR="00561358" w:rsidRDefault="00561358"/>
    <w:p w:rsidR="00561358" w:rsidRPr="00D20CBB" w:rsidRDefault="00561358" w:rsidP="00A039F3">
      <w:pPr>
        <w:suppressLineNumbers/>
      </w:pPr>
    </w:p>
    <w:p w:rsidR="00561358" w:rsidRPr="00D20CBB" w:rsidRDefault="00561358" w:rsidP="00A039F3">
      <w:pPr>
        <w:suppressLineNumbers/>
      </w:pPr>
    </w:p>
    <w:p w:rsidR="00561358" w:rsidRPr="00D20CBB" w:rsidRDefault="00561358" w:rsidP="00A039F3">
      <w:pPr>
        <w:suppressLineNumbers/>
      </w:pPr>
      <w:r w:rsidRPr="00D20CBB">
        <w:tab/>
      </w:r>
      <w:r w:rsidRPr="00D20CBB">
        <w:tab/>
      </w:r>
      <w:r w:rsidRPr="00D20CBB">
        <w:tab/>
      </w:r>
      <w:r w:rsidRPr="00D20CBB">
        <w:tab/>
      </w:r>
      <w:r w:rsidRPr="00D20CBB">
        <w:tab/>
      </w:r>
      <w:r w:rsidRPr="00D20CBB">
        <w:tab/>
      </w:r>
      <w:r w:rsidRPr="00D20CBB">
        <w:tab/>
      </w:r>
      <w:r w:rsidRPr="00D20CBB">
        <w:rPr>
          <w:u w:val="single"/>
        </w:rPr>
        <w:tab/>
      </w:r>
      <w:r w:rsidRPr="00D20CBB">
        <w:rPr>
          <w:u w:val="single"/>
        </w:rPr>
        <w:tab/>
      </w:r>
      <w:r w:rsidRPr="00D20CBB">
        <w:rPr>
          <w:u w:val="single"/>
        </w:rPr>
        <w:tab/>
      </w:r>
      <w:r w:rsidRPr="00D20CBB">
        <w:rPr>
          <w:u w:val="single"/>
        </w:rPr>
        <w:tab/>
      </w:r>
      <w:r w:rsidRPr="00D20CBB">
        <w:rPr>
          <w:u w:val="single"/>
        </w:rPr>
        <w:tab/>
      </w:r>
      <w:r w:rsidRPr="00D20CBB">
        <w:rPr>
          <w:u w:val="single"/>
        </w:rPr>
        <w:tab/>
      </w:r>
    </w:p>
    <w:p w:rsidR="00561358" w:rsidRPr="00D20CBB" w:rsidRDefault="00561358" w:rsidP="00A039F3">
      <w:pPr>
        <w:suppressLineNumbers/>
      </w:pPr>
      <w:r>
        <w:tab/>
      </w:r>
      <w:r>
        <w:tab/>
      </w:r>
      <w:r>
        <w:tab/>
      </w:r>
      <w:r>
        <w:tab/>
      </w:r>
      <w:r>
        <w:tab/>
      </w:r>
      <w:r>
        <w:tab/>
      </w:r>
      <w:r>
        <w:tab/>
        <w:t xml:space="preserve">Brent </w:t>
      </w:r>
      <w:proofErr w:type="spellStart"/>
      <w:r>
        <w:t>Hibbert</w:t>
      </w:r>
      <w:proofErr w:type="spellEnd"/>
      <w:r w:rsidRPr="00D20CBB">
        <w:t>, Assembly President</w:t>
      </w:r>
    </w:p>
    <w:p w:rsidR="00561358" w:rsidRPr="00D20CBB" w:rsidRDefault="00561358" w:rsidP="00A039F3">
      <w:pPr>
        <w:suppressLineNumbers/>
      </w:pPr>
      <w:r w:rsidRPr="00D20CBB">
        <w:t>ATTEST:</w:t>
      </w:r>
    </w:p>
    <w:p w:rsidR="00561358" w:rsidRPr="00D20CBB" w:rsidRDefault="00561358" w:rsidP="00A039F3">
      <w:pPr>
        <w:suppressLineNumbers/>
      </w:pPr>
    </w:p>
    <w:p w:rsidR="00561358" w:rsidRPr="00D20CBB" w:rsidRDefault="00561358" w:rsidP="00A039F3">
      <w:pPr>
        <w:suppressLineNumbers/>
      </w:pPr>
    </w:p>
    <w:p w:rsidR="00561358" w:rsidRPr="00D20CBB" w:rsidRDefault="00561358" w:rsidP="00A039F3">
      <w:pPr>
        <w:suppressLineNumbers/>
      </w:pPr>
      <w:r w:rsidRPr="00D20CBB">
        <w:rPr>
          <w:u w:val="single"/>
        </w:rPr>
        <w:tab/>
      </w:r>
      <w:r w:rsidRPr="00D20CBB">
        <w:rPr>
          <w:u w:val="single"/>
        </w:rPr>
        <w:tab/>
      </w:r>
      <w:r w:rsidRPr="00D20CBB">
        <w:rPr>
          <w:u w:val="single"/>
        </w:rPr>
        <w:tab/>
      </w:r>
      <w:r w:rsidRPr="00D20CBB">
        <w:rPr>
          <w:u w:val="single"/>
        </w:rPr>
        <w:tab/>
      </w:r>
      <w:r w:rsidRPr="00D20CBB">
        <w:rPr>
          <w:u w:val="single"/>
        </w:rPr>
        <w:tab/>
      </w:r>
      <w:r w:rsidRPr="00D20CBB">
        <w:rPr>
          <w:u w:val="single"/>
        </w:rPr>
        <w:tab/>
      </w:r>
    </w:p>
    <w:p w:rsidR="00561358" w:rsidRDefault="00561358">
      <w:r w:rsidRPr="00D20CBB">
        <w:t xml:space="preserve">Johni Blankenship, </w:t>
      </w:r>
      <w:r>
        <w:t xml:space="preserve">MMC, </w:t>
      </w:r>
      <w:r w:rsidRPr="00D20CBB">
        <w:t>Borough Clerk</w:t>
      </w:r>
    </w:p>
    <w:p w:rsidR="00641DA2" w:rsidRPr="00641DA2" w:rsidRDefault="00561358" w:rsidP="00641DA2"/>
    <w:p w:rsidR="00641DA2" w:rsidRPr="00641DA2" w:rsidRDefault="00561358" w:rsidP="00641DA2"/>
    <w:p w:rsidR="00641DA2" w:rsidRPr="00641DA2" w:rsidRDefault="00561358" w:rsidP="00641DA2"/>
    <w:p w:rsidR="00641DA2" w:rsidRPr="00641DA2" w:rsidRDefault="00561358" w:rsidP="00641DA2"/>
    <w:p w:rsidR="00641DA2" w:rsidRDefault="00561358" w:rsidP="00641DA2"/>
    <w:p w:rsidR="00641DA2" w:rsidRDefault="00561358" w:rsidP="00641DA2"/>
    <w:p w:rsidR="00641DA2"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p>
    <w:p w:rsidR="00561358" w:rsidRDefault="00561358" w:rsidP="00641DA2">
      <w:pPr>
        <w:tabs>
          <w:tab w:val="left" w:pos="7230"/>
        </w:tabs>
      </w:pPr>
      <w:bookmarkStart w:id="0" w:name="_GoBack"/>
      <w:bookmarkEnd w:id="0"/>
    </w:p>
    <w:tbl>
      <w:tblPr>
        <w:tblW w:w="0" w:type="auto"/>
        <w:jc w:val="center"/>
        <w:tblLayout w:type="fixed"/>
        <w:tblCellMar>
          <w:left w:w="120" w:type="dxa"/>
          <w:right w:w="120" w:type="dxa"/>
        </w:tblCellMar>
        <w:tblLook w:val="0000" w:firstRow="0" w:lastRow="0" w:firstColumn="0" w:lastColumn="0" w:noHBand="0" w:noVBand="0"/>
      </w:tblPr>
      <w:tblGrid>
        <w:gridCol w:w="1531"/>
        <w:gridCol w:w="7831"/>
      </w:tblGrid>
      <w:tr w:rsidR="00561358" w:rsidRPr="002F5FF2">
        <w:trPr>
          <w:trHeight w:hRule="exact" w:val="403"/>
          <w:jc w:val="center"/>
        </w:trPr>
        <w:tc>
          <w:tcPr>
            <w:tcW w:w="1531" w:type="dxa"/>
            <w:tcBorders>
              <w:top w:val="nil"/>
              <w:left w:val="nil"/>
              <w:bottom w:val="nil"/>
              <w:right w:val="nil"/>
            </w:tcBorders>
            <w:vAlign w:val="center"/>
          </w:tcPr>
          <w:p w:rsidR="00561358" w:rsidRPr="002F5FF2" w:rsidRDefault="00561358">
            <w:pPr>
              <w:spacing w:after="58"/>
              <w:rPr>
                <w:sz w:val="20"/>
                <w:szCs w:val="20"/>
              </w:rPr>
            </w:pPr>
            <w:r w:rsidRPr="002F5FF2">
              <w:rPr>
                <w:sz w:val="20"/>
                <w:szCs w:val="20"/>
              </w:rPr>
              <w:t>Yes:</w:t>
            </w:r>
          </w:p>
        </w:tc>
        <w:tc>
          <w:tcPr>
            <w:tcW w:w="7831" w:type="dxa"/>
            <w:tcBorders>
              <w:top w:val="nil"/>
              <w:left w:val="nil"/>
              <w:bottom w:val="nil"/>
              <w:right w:val="nil"/>
            </w:tcBorders>
            <w:vAlign w:val="center"/>
          </w:tcPr>
          <w:p w:rsidR="00561358" w:rsidRPr="00D40288" w:rsidRDefault="00561358">
            <w:pPr>
              <w:spacing w:after="58"/>
              <w:rPr>
                <w:sz w:val="20"/>
                <w:szCs w:val="20"/>
              </w:rPr>
            </w:pPr>
          </w:p>
        </w:tc>
      </w:tr>
      <w:tr w:rsidR="00561358" w:rsidRPr="002F5FF2">
        <w:trPr>
          <w:trHeight w:hRule="exact" w:val="403"/>
          <w:jc w:val="center"/>
        </w:trPr>
        <w:tc>
          <w:tcPr>
            <w:tcW w:w="1531" w:type="dxa"/>
            <w:tcBorders>
              <w:top w:val="nil"/>
              <w:left w:val="nil"/>
              <w:bottom w:val="nil"/>
              <w:right w:val="nil"/>
            </w:tcBorders>
            <w:vAlign w:val="center"/>
          </w:tcPr>
          <w:p w:rsidR="00561358" w:rsidRPr="002F5FF2" w:rsidRDefault="00561358">
            <w:pPr>
              <w:spacing w:after="58"/>
              <w:rPr>
                <w:sz w:val="20"/>
                <w:szCs w:val="20"/>
              </w:rPr>
            </w:pPr>
            <w:r w:rsidRPr="002F5FF2">
              <w:rPr>
                <w:sz w:val="20"/>
                <w:szCs w:val="20"/>
              </w:rPr>
              <w:t>No:</w:t>
            </w:r>
          </w:p>
        </w:tc>
        <w:tc>
          <w:tcPr>
            <w:tcW w:w="7831" w:type="dxa"/>
            <w:tcBorders>
              <w:top w:val="nil"/>
              <w:left w:val="nil"/>
              <w:bottom w:val="nil"/>
              <w:right w:val="nil"/>
            </w:tcBorders>
            <w:vAlign w:val="center"/>
          </w:tcPr>
          <w:p w:rsidR="00561358" w:rsidRPr="002F5FF2" w:rsidRDefault="00561358">
            <w:pPr>
              <w:spacing w:after="58"/>
              <w:rPr>
                <w:sz w:val="20"/>
                <w:szCs w:val="20"/>
              </w:rPr>
            </w:pPr>
          </w:p>
        </w:tc>
      </w:tr>
      <w:tr w:rsidR="00561358" w:rsidRPr="002F5FF2">
        <w:trPr>
          <w:trHeight w:hRule="exact" w:val="403"/>
          <w:jc w:val="center"/>
        </w:trPr>
        <w:tc>
          <w:tcPr>
            <w:tcW w:w="1531" w:type="dxa"/>
            <w:tcBorders>
              <w:top w:val="nil"/>
              <w:left w:val="nil"/>
              <w:bottom w:val="nil"/>
              <w:right w:val="nil"/>
            </w:tcBorders>
            <w:vAlign w:val="center"/>
          </w:tcPr>
          <w:p w:rsidR="00561358" w:rsidRPr="002F5FF2" w:rsidRDefault="00561358">
            <w:pPr>
              <w:spacing w:after="58"/>
              <w:rPr>
                <w:sz w:val="20"/>
                <w:szCs w:val="20"/>
              </w:rPr>
            </w:pPr>
            <w:r w:rsidRPr="002F5FF2">
              <w:rPr>
                <w:sz w:val="20"/>
                <w:szCs w:val="20"/>
              </w:rPr>
              <w:t>Absent:</w:t>
            </w:r>
          </w:p>
        </w:tc>
        <w:tc>
          <w:tcPr>
            <w:tcW w:w="7831" w:type="dxa"/>
            <w:tcBorders>
              <w:top w:val="nil"/>
              <w:left w:val="nil"/>
              <w:bottom w:val="nil"/>
              <w:right w:val="nil"/>
            </w:tcBorders>
            <w:vAlign w:val="center"/>
          </w:tcPr>
          <w:p w:rsidR="00561358" w:rsidRPr="002F5FF2" w:rsidRDefault="00561358">
            <w:pPr>
              <w:spacing w:after="58"/>
              <w:rPr>
                <w:sz w:val="20"/>
                <w:szCs w:val="20"/>
              </w:rPr>
            </w:pPr>
          </w:p>
        </w:tc>
      </w:tr>
    </w:tbl>
    <w:p w:rsidR="00A04C51" w:rsidRPr="00641DA2" w:rsidRDefault="00561358" w:rsidP="00641DA2">
      <w:pPr>
        <w:tabs>
          <w:tab w:val="left" w:pos="7230"/>
        </w:tabs>
      </w:pPr>
    </w:p>
    <w:sectPr w:rsidR="00A04C51" w:rsidRPr="00641DA2" w:rsidSect="00561358">
      <w:footerReference w:type="even" r:id="rId12"/>
      <w:footerReference w:type="default" r:id="rId13"/>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11" w:rsidRDefault="00165F14">
      <w:r>
        <w:separator/>
      </w:r>
    </w:p>
  </w:endnote>
  <w:endnote w:type="continuationSeparator" w:id="0">
    <w:p w:rsidR="00910811" w:rsidRDefault="0016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58" w:rsidRPr="009B44FD" w:rsidRDefault="00561358">
    <w:pPr>
      <w:pStyle w:val="Footer"/>
      <w:rPr>
        <w:sz w:val="20"/>
        <w:szCs w:val="20"/>
      </w:rPr>
    </w:pPr>
    <w:r w:rsidRPr="009B44FD">
      <w:rPr>
        <w:sz w:val="20"/>
        <w:szCs w:val="20"/>
        <w:u w:val="single"/>
      </w:rPr>
      <w:tab/>
    </w:r>
    <w:r w:rsidRPr="009B44FD">
      <w:rPr>
        <w:sz w:val="20"/>
        <w:szCs w:val="20"/>
        <w:u w:val="single"/>
      </w:rPr>
      <w:tab/>
    </w:r>
  </w:p>
  <w:p w:rsidR="00561358" w:rsidRPr="009B44FD" w:rsidRDefault="00561358">
    <w:pPr>
      <w:pStyle w:val="Footer"/>
      <w:rPr>
        <w:sz w:val="20"/>
        <w:szCs w:val="20"/>
      </w:rPr>
    </w:pPr>
    <w:r>
      <w:rPr>
        <w:sz w:val="20"/>
        <w:szCs w:val="20"/>
      </w:rPr>
      <w:t>Resolution</w:t>
    </w:r>
    <w:r w:rsidRPr="009B44FD">
      <w:rPr>
        <w:sz w:val="20"/>
        <w:szCs w:val="20"/>
      </w:rPr>
      <w:t xml:space="preserve"> </w:t>
    </w:r>
    <w:r>
      <w:rPr>
        <w:sz w:val="20"/>
        <w:szCs w:val="20"/>
      </w:rPr>
      <w:t>2020-084</w:t>
    </w:r>
    <w:r w:rsidRPr="009B44FD">
      <w:rPr>
        <w:sz w:val="20"/>
        <w:szCs w:val="20"/>
      </w:rPr>
      <w:tab/>
    </w:r>
    <w:r w:rsidRPr="009B44FD">
      <w:rPr>
        <w:sz w:val="20"/>
        <w:szCs w:val="20"/>
      </w:rPr>
      <w:tab/>
      <w:t>Kenai Peninsula Borough, Alaska</w:t>
    </w:r>
  </w:p>
  <w:p w:rsidR="00561358" w:rsidRDefault="00561358">
    <w:r w:rsidRPr="004514F9">
      <w:rPr>
        <w:sz w:val="20"/>
        <w:szCs w:val="20"/>
      </w:rPr>
      <w:t xml:space="preserve">Page </w:t>
    </w:r>
    <w:r w:rsidRPr="004514F9">
      <w:rPr>
        <w:sz w:val="20"/>
        <w:szCs w:val="20"/>
      </w:rPr>
      <w:fldChar w:fldCharType="begin"/>
    </w:r>
    <w:r w:rsidRPr="004514F9">
      <w:rPr>
        <w:sz w:val="20"/>
        <w:szCs w:val="20"/>
      </w:rPr>
      <w:instrText xml:space="preserve"> PAGE </w:instrText>
    </w:r>
    <w:r w:rsidRPr="004514F9">
      <w:rPr>
        <w:sz w:val="20"/>
        <w:szCs w:val="20"/>
      </w:rPr>
      <w:fldChar w:fldCharType="separate"/>
    </w:r>
    <w:r>
      <w:rPr>
        <w:noProof/>
        <w:sz w:val="20"/>
        <w:szCs w:val="20"/>
      </w:rPr>
      <w:t>2</w:t>
    </w:r>
    <w:r w:rsidRPr="004514F9">
      <w:rPr>
        <w:sz w:val="20"/>
        <w:szCs w:val="20"/>
      </w:rPr>
      <w:fldChar w:fldCharType="end"/>
    </w:r>
    <w:r w:rsidRPr="004514F9">
      <w:rPr>
        <w:sz w:val="20"/>
        <w:szCs w:val="20"/>
      </w:rPr>
      <w:t xml:space="preserve"> of </w:t>
    </w:r>
    <w:r w:rsidRPr="00D67A3A">
      <w:rPr>
        <w:rStyle w:val="PageNumber"/>
        <w:sz w:val="20"/>
        <w:szCs w:val="20"/>
      </w:rPr>
      <w:fldChar w:fldCharType="begin"/>
    </w:r>
    <w:r w:rsidRPr="00D67A3A">
      <w:rPr>
        <w:rStyle w:val="PageNumber"/>
        <w:sz w:val="20"/>
        <w:szCs w:val="20"/>
      </w:rPr>
      <w:instrText xml:space="preserve"> NUMPAGES </w:instrText>
    </w:r>
    <w:r w:rsidRPr="00D67A3A">
      <w:rPr>
        <w:rStyle w:val="PageNumber"/>
        <w:sz w:val="20"/>
        <w:szCs w:val="20"/>
      </w:rPr>
      <w:fldChar w:fldCharType="separate"/>
    </w:r>
    <w:r>
      <w:rPr>
        <w:rStyle w:val="PageNumber"/>
        <w:noProof/>
        <w:sz w:val="20"/>
        <w:szCs w:val="20"/>
      </w:rPr>
      <w:t>2</w:t>
    </w:r>
    <w:r w:rsidRPr="00D67A3A">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58" w:rsidRPr="00304852" w:rsidRDefault="00561358">
    <w:pPr>
      <w:pStyle w:val="Footer"/>
      <w:rPr>
        <w:sz w:val="20"/>
        <w:szCs w:val="20"/>
      </w:rPr>
    </w:pPr>
    <w:r w:rsidRPr="00304852">
      <w:rPr>
        <w:sz w:val="20"/>
        <w:szCs w:val="20"/>
        <w:u w:val="single"/>
      </w:rPr>
      <w:tab/>
    </w:r>
    <w:r w:rsidRPr="00304852">
      <w:rPr>
        <w:sz w:val="20"/>
        <w:szCs w:val="20"/>
        <w:u w:val="single"/>
      </w:rPr>
      <w:tab/>
    </w:r>
  </w:p>
  <w:p w:rsidR="00561358" w:rsidRPr="00304852" w:rsidRDefault="00561358">
    <w:pPr>
      <w:pStyle w:val="Footer"/>
      <w:tabs>
        <w:tab w:val="center" w:pos="5160"/>
      </w:tabs>
      <w:rPr>
        <w:sz w:val="20"/>
        <w:szCs w:val="20"/>
      </w:rPr>
    </w:pPr>
    <w:r w:rsidRPr="00304852">
      <w:rPr>
        <w:sz w:val="20"/>
        <w:szCs w:val="20"/>
      </w:rPr>
      <w:t>Kenai Peninsula Borough, Alaska</w:t>
    </w:r>
    <w:r w:rsidRPr="00304852">
      <w:rPr>
        <w:sz w:val="20"/>
        <w:szCs w:val="20"/>
      </w:rPr>
      <w:tab/>
    </w:r>
    <w:r>
      <w:rPr>
        <w:sz w:val="20"/>
        <w:szCs w:val="20"/>
      </w:rPr>
      <w:tab/>
    </w:r>
    <w:r>
      <w:rPr>
        <w:sz w:val="20"/>
        <w:szCs w:val="20"/>
      </w:rPr>
      <w:tab/>
      <w:t>Resolution</w:t>
    </w:r>
    <w:r w:rsidRPr="00304852">
      <w:rPr>
        <w:sz w:val="20"/>
        <w:szCs w:val="20"/>
      </w:rPr>
      <w:t xml:space="preserve"> </w:t>
    </w:r>
    <w:r>
      <w:rPr>
        <w:sz w:val="20"/>
        <w:szCs w:val="20"/>
      </w:rPr>
      <w:t>2020-084</w:t>
    </w:r>
  </w:p>
  <w:p w:rsidR="00561358" w:rsidRDefault="00561358" w:rsidP="00A039F3">
    <w:pPr>
      <w:tabs>
        <w:tab w:val="right" w:pos="9360"/>
      </w:tabs>
    </w:pPr>
    <w:r>
      <w:rPr>
        <w:sz w:val="20"/>
        <w:szCs w:val="20"/>
      </w:rPr>
      <w:tab/>
    </w:r>
    <w:r w:rsidRPr="00304852">
      <w:rPr>
        <w:sz w:val="20"/>
        <w:szCs w:val="20"/>
      </w:rPr>
      <w:t xml:space="preserve">Page </w:t>
    </w:r>
    <w:r w:rsidRPr="00304852">
      <w:rPr>
        <w:sz w:val="20"/>
        <w:szCs w:val="20"/>
      </w:rPr>
      <w:fldChar w:fldCharType="begin"/>
    </w:r>
    <w:r w:rsidRPr="00304852">
      <w:rPr>
        <w:sz w:val="20"/>
        <w:szCs w:val="20"/>
      </w:rPr>
      <w:instrText xml:space="preserve"> PAGE </w:instrText>
    </w:r>
    <w:r w:rsidRPr="00304852">
      <w:rPr>
        <w:sz w:val="20"/>
        <w:szCs w:val="20"/>
      </w:rPr>
      <w:fldChar w:fldCharType="separate"/>
    </w:r>
    <w:r>
      <w:rPr>
        <w:noProof/>
        <w:sz w:val="20"/>
        <w:szCs w:val="20"/>
      </w:rPr>
      <w:t>1</w:t>
    </w:r>
    <w:r w:rsidRPr="00304852">
      <w:rPr>
        <w:sz w:val="20"/>
        <w:szCs w:val="20"/>
      </w:rPr>
      <w:fldChar w:fldCharType="end"/>
    </w:r>
    <w:r w:rsidRPr="00304852">
      <w:rPr>
        <w:sz w:val="20"/>
        <w:szCs w:val="20"/>
      </w:rPr>
      <w:t xml:space="preserve"> of </w:t>
    </w:r>
    <w:r w:rsidRPr="00D67A3A">
      <w:rPr>
        <w:rStyle w:val="PageNumber"/>
        <w:sz w:val="20"/>
        <w:szCs w:val="20"/>
      </w:rPr>
      <w:fldChar w:fldCharType="begin"/>
    </w:r>
    <w:r w:rsidRPr="00D67A3A">
      <w:rPr>
        <w:rStyle w:val="PageNumber"/>
        <w:sz w:val="20"/>
        <w:szCs w:val="20"/>
      </w:rPr>
      <w:instrText xml:space="preserve"> NUMPAGES </w:instrText>
    </w:r>
    <w:r w:rsidRPr="00D67A3A">
      <w:rPr>
        <w:rStyle w:val="PageNumber"/>
        <w:sz w:val="20"/>
        <w:szCs w:val="20"/>
      </w:rPr>
      <w:fldChar w:fldCharType="separate"/>
    </w:r>
    <w:r>
      <w:rPr>
        <w:rStyle w:val="PageNumber"/>
        <w:noProof/>
        <w:sz w:val="20"/>
        <w:szCs w:val="20"/>
      </w:rPr>
      <w:t>2</w:t>
    </w:r>
    <w:r w:rsidRPr="00D67A3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11" w:rsidRDefault="00165F14">
      <w:r>
        <w:separator/>
      </w:r>
    </w:p>
  </w:footnote>
  <w:footnote w:type="continuationSeparator" w:id="0">
    <w:p w:rsidR="00910811" w:rsidRDefault="00165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A1"/>
    <w:rsid w:val="00165F14"/>
    <w:rsid w:val="00561358"/>
    <w:rsid w:val="008B23A1"/>
    <w:rsid w:val="0091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57AED"/>
  <w15:docId w15:val="{6872948A-AA76-4DCE-930C-4AA96D92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E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6C2CD8"/>
    <w:pPr>
      <w:tabs>
        <w:tab w:val="center" w:pos="4680"/>
        <w:tab w:val="right" w:pos="9360"/>
      </w:tabs>
    </w:pPr>
  </w:style>
  <w:style w:type="character" w:customStyle="1" w:styleId="HeaderChar">
    <w:name w:val="Header Char"/>
    <w:link w:val="Header"/>
    <w:rsid w:val="006C2CD8"/>
    <w:rPr>
      <w:sz w:val="24"/>
      <w:szCs w:val="24"/>
    </w:rPr>
  </w:style>
  <w:style w:type="paragraph" w:styleId="Footer">
    <w:name w:val="footer"/>
    <w:basedOn w:val="Normal"/>
    <w:link w:val="FooterChar"/>
    <w:rsid w:val="006C2CD8"/>
    <w:pPr>
      <w:tabs>
        <w:tab w:val="center" w:pos="4680"/>
        <w:tab w:val="right" w:pos="9360"/>
      </w:tabs>
    </w:pPr>
  </w:style>
  <w:style w:type="character" w:customStyle="1" w:styleId="FooterChar">
    <w:name w:val="Footer Char"/>
    <w:link w:val="Footer"/>
    <w:rsid w:val="006C2CD8"/>
    <w:rPr>
      <w:sz w:val="24"/>
      <w:szCs w:val="24"/>
    </w:rPr>
  </w:style>
  <w:style w:type="paragraph" w:styleId="BalloonText">
    <w:name w:val="Balloon Text"/>
    <w:basedOn w:val="Normal"/>
    <w:link w:val="BalloonTextChar"/>
    <w:rsid w:val="00144F70"/>
    <w:rPr>
      <w:rFonts w:ascii="Tahoma" w:hAnsi="Tahoma" w:cs="Tahoma"/>
      <w:sz w:val="16"/>
      <w:szCs w:val="16"/>
    </w:rPr>
  </w:style>
  <w:style w:type="character" w:customStyle="1" w:styleId="BalloonTextChar">
    <w:name w:val="Balloon Text Char"/>
    <w:link w:val="BalloonText"/>
    <w:rsid w:val="00144F70"/>
    <w:rPr>
      <w:rFonts w:ascii="Tahoma" w:hAnsi="Tahoma" w:cs="Tahoma"/>
      <w:sz w:val="16"/>
      <w:szCs w:val="16"/>
    </w:rPr>
  </w:style>
  <w:style w:type="character" w:styleId="LineNumber">
    <w:name w:val="line number"/>
    <w:basedOn w:val="DefaultParagraphFont"/>
    <w:rsid w:val="008923E1"/>
  </w:style>
  <w:style w:type="paragraph" w:customStyle="1" w:styleId="Createdby">
    <w:name w:val="Created by"/>
    <w:rsid w:val="008923E1"/>
    <w:rPr>
      <w:sz w:val="24"/>
      <w:szCs w:val="24"/>
    </w:rPr>
  </w:style>
  <w:style w:type="character" w:styleId="PageNumber">
    <w:name w:val="page number"/>
    <w:basedOn w:val="DefaultParagraphFont"/>
    <w:rsid w:val="008923E1"/>
  </w:style>
  <w:style w:type="character" w:styleId="CommentReference">
    <w:name w:val="annotation reference"/>
    <w:rsid w:val="005830FE"/>
    <w:rPr>
      <w:sz w:val="16"/>
      <w:szCs w:val="16"/>
    </w:rPr>
  </w:style>
  <w:style w:type="paragraph" w:styleId="CommentText">
    <w:name w:val="annotation text"/>
    <w:basedOn w:val="Normal"/>
    <w:link w:val="CommentTextChar"/>
    <w:rsid w:val="005830FE"/>
    <w:rPr>
      <w:sz w:val="20"/>
      <w:szCs w:val="20"/>
    </w:rPr>
  </w:style>
  <w:style w:type="character" w:customStyle="1" w:styleId="CommentTextChar">
    <w:name w:val="Comment Text Char"/>
    <w:basedOn w:val="DefaultParagraphFont"/>
    <w:link w:val="CommentText"/>
    <w:rsid w:val="005830FE"/>
  </w:style>
  <w:style w:type="paragraph" w:styleId="CommentSubject">
    <w:name w:val="annotation subject"/>
    <w:basedOn w:val="CommentText"/>
    <w:next w:val="CommentText"/>
    <w:link w:val="CommentSubjectChar"/>
    <w:rsid w:val="005830FE"/>
    <w:rPr>
      <w:b/>
      <w:bCs/>
    </w:rPr>
  </w:style>
  <w:style w:type="character" w:customStyle="1" w:styleId="CommentSubjectChar">
    <w:name w:val="Comment Subject Char"/>
    <w:link w:val="CommentSubject"/>
    <w:rsid w:val="0058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opic xmlns="43c6dbec-b22b-493e-aba5-f7edbab1d578">Assembly</Topic>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3E09ECCA963E540ACEAA012B5C1DA88" ma:contentTypeVersion="2" ma:contentTypeDescription="Create a new document." ma:contentTypeScope="" ma:versionID="d982cc6a6074e6a97ec071544b2b2539">
  <xsd:schema xmlns:xsd="http://www.w3.org/2001/XMLSchema" xmlns:xs="http://www.w3.org/2001/XMLSchema" xmlns:p="http://schemas.microsoft.com/office/2006/metadata/properties" xmlns:ns1="http://schemas.microsoft.com/sharepoint/v3" xmlns:ns2="ec241b68-584a-4eca-83c5-2221c9591f59" xmlns:ns3="43c6dbec-b22b-493e-aba5-f7edbab1d578" targetNamespace="http://schemas.microsoft.com/office/2006/metadata/properties" ma:root="true" ma:fieldsID="22ce703d47562db675d189c51bc2825f" ns1:_="" ns2:_="" ns3:_="">
    <xsd:import namespace="http://schemas.microsoft.com/sharepoint/v3"/>
    <xsd:import namespace="ec241b68-584a-4eca-83c5-2221c9591f59"/>
    <xsd:import namespace="43c6dbec-b22b-493e-aba5-f7edbab1d57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241b68-584a-4eca-83c5-2221c9591f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c6dbec-b22b-493e-aba5-f7edbab1d578"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B717B-2A44-48D3-94C7-F4C49E0C8E0B}">
  <ds:schemaRefs>
    <ds:schemaRef ds:uri="http://schemas.microsoft.com/office/2006/metadata/longProperties"/>
  </ds:schemaRefs>
</ds:datastoreItem>
</file>

<file path=customXml/itemProps2.xml><?xml version="1.0" encoding="utf-8"?>
<ds:datastoreItem xmlns:ds="http://schemas.openxmlformats.org/officeDocument/2006/customXml" ds:itemID="{C8059561-2628-446E-B20F-A9EF0402C81B}">
  <ds:schemaRefs>
    <ds:schemaRef ds:uri="http://purl.org/dc/elements/1.1/"/>
    <ds:schemaRef ds:uri="http://schemas.microsoft.com/sharepoint/v3"/>
    <ds:schemaRef ds:uri="43c6dbec-b22b-493e-aba5-f7edbab1d578"/>
    <ds:schemaRef ds:uri="http://schemas.microsoft.com/office/infopath/2007/PartnerControls"/>
    <ds:schemaRef ds:uri="http://purl.org/dc/terms/"/>
    <ds:schemaRef ds:uri="http://schemas.openxmlformats.org/package/2006/metadata/core-properties"/>
    <ds:schemaRef ds:uri="ec241b68-584a-4eca-83c5-2221c9591f59"/>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67062A0-1286-4928-876C-E02C21E9D3BB}">
  <ds:schemaRefs>
    <ds:schemaRef ds:uri="http://schemas.microsoft.com/sharepoint/v3/contenttype/forms"/>
  </ds:schemaRefs>
</ds:datastoreItem>
</file>

<file path=customXml/itemProps4.xml><?xml version="1.0" encoding="utf-8"?>
<ds:datastoreItem xmlns:ds="http://schemas.openxmlformats.org/officeDocument/2006/customXml" ds:itemID="{37EEAA1B-F6DE-4E3E-9DFE-BDC440AE12C1}">
  <ds:schemaRefs>
    <ds:schemaRef ds:uri="http://schemas.microsoft.com/sharepoint/events"/>
  </ds:schemaRefs>
</ds:datastoreItem>
</file>

<file path=customXml/itemProps5.xml><?xml version="1.0" encoding="utf-8"?>
<ds:datastoreItem xmlns:ds="http://schemas.openxmlformats.org/officeDocument/2006/customXml" ds:itemID="{13237705-9211-4C5A-BA03-61CF5DD6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41b68-584a-4eca-83c5-2221c9591f59"/>
    <ds:schemaRef ds:uri="43c6dbec-b22b-493e-aba5-f7edbab1d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849A56-EC07-4C9F-B355-C917B70E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Kenai Peninsula Borough</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smorgan</dc:creator>
  <cp:lastModifiedBy>Broyles, Randi</cp:lastModifiedBy>
  <cp:revision>3</cp:revision>
  <dcterms:created xsi:type="dcterms:W3CDTF">2020-12-10T17:50:00Z</dcterms:created>
  <dcterms:modified xsi:type="dcterms:W3CDTF">2020-12-10T18:26:00Z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HK5CJS2ZEUUY-204-6</vt:lpwstr>
  </property>
  <property fmtid="{D5CDD505-2E9C-101B-9397-08002B2CF9AE}" pid="3" name="_dlc_DocIdItemGuid">
    <vt:lpwstr>6035caee-ff80-40bc-9c3d-6ccbbe09d3e4</vt:lpwstr>
  </property>
  <property fmtid="{D5CDD505-2E9C-101B-9397-08002B2CF9AE}" pid="4" name="_dlc_DocIdUrl">
    <vt:lpwstr>http://intranet.borough.kenai.ak.us/clerks/_layouts/DocIdRedir.aspx?ID=HK5CJS2ZEUUY-204-6, HK5CJS2ZEUUY-204-6</vt:lpwstr>
  </property>
</Properties>
</file>